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DFAE0" w14:textId="3B3E040D" w:rsidR="008120EA" w:rsidRDefault="008120EA" w:rsidP="00ED37E6">
      <w:pPr>
        <w:jc w:val="center"/>
      </w:pPr>
      <w:r>
        <w:rPr>
          <w:i/>
          <w:noProof/>
          <w:color w:val="FFD966" w:themeColor="accent4" w:themeTint="99"/>
          <w:sz w:val="36"/>
          <w:szCs w:val="36"/>
        </w:rPr>
        <w:drawing>
          <wp:inline distT="0" distB="0" distL="0" distR="0" wp14:anchorId="552E4AD3" wp14:editId="6BF97444">
            <wp:extent cx="115824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4_Logo.pdf"/>
                    <pic:cNvPicPr/>
                  </pic:nvPicPr>
                  <pic:blipFill>
                    <a:blip r:embed="rId5"/>
                    <a:stretch>
                      <a:fillRect/>
                    </a:stretch>
                  </pic:blipFill>
                  <pic:spPr>
                    <a:xfrm>
                      <a:off x="0" y="0"/>
                      <a:ext cx="1185215" cy="935696"/>
                    </a:xfrm>
                    <a:prstGeom prst="rect">
                      <a:avLst/>
                    </a:prstGeom>
                  </pic:spPr>
                </pic:pic>
              </a:graphicData>
            </a:graphic>
          </wp:inline>
        </w:drawing>
      </w:r>
    </w:p>
    <w:p w14:paraId="3AAE92AA" w14:textId="24D73C13" w:rsidR="008120EA" w:rsidRDefault="008120EA" w:rsidP="00ED37E6">
      <w:pPr>
        <w:jc w:val="center"/>
      </w:pPr>
    </w:p>
    <w:p w14:paraId="1336D23E" w14:textId="77777777" w:rsidR="007E67E2" w:rsidRDefault="007E67E2" w:rsidP="007E67E2">
      <w:pPr>
        <w:jc w:val="center"/>
      </w:pPr>
      <w:r>
        <w:t>Summer Learning Exchange, June 19, 2021</w:t>
      </w:r>
    </w:p>
    <w:p w14:paraId="70287898" w14:textId="77777777" w:rsidR="007E67E2" w:rsidRDefault="007E67E2" w:rsidP="00ED37E6">
      <w:pPr>
        <w:jc w:val="center"/>
      </w:pPr>
    </w:p>
    <w:p w14:paraId="3F35881C" w14:textId="7A87A0B0" w:rsidR="00515BDC" w:rsidRDefault="00ED37E6" w:rsidP="00ED37E6">
      <w:pPr>
        <w:jc w:val="center"/>
      </w:pPr>
      <w:r>
        <w:t xml:space="preserve">Unpacking Boykin </w:t>
      </w:r>
    </w:p>
    <w:p w14:paraId="13257741" w14:textId="5D0BEA57" w:rsidR="00ED37E6" w:rsidRPr="00415A3D" w:rsidRDefault="00ED37E6" w:rsidP="00ED37E6">
      <w:pPr>
        <w:jc w:val="center"/>
        <w:rPr>
          <w:b/>
          <w:bCs/>
          <w:lang w:val="fr-FR"/>
        </w:rPr>
      </w:pPr>
      <w:r w:rsidRPr="00415A3D">
        <w:rPr>
          <w:b/>
          <w:bCs/>
          <w:lang w:val="fr-FR"/>
        </w:rPr>
        <w:t xml:space="preserve">Chapter </w:t>
      </w:r>
      <w:proofErr w:type="gramStart"/>
      <w:r w:rsidRPr="00415A3D">
        <w:rPr>
          <w:b/>
          <w:bCs/>
          <w:lang w:val="fr-FR"/>
        </w:rPr>
        <w:t>3:</w:t>
      </w:r>
      <w:proofErr w:type="gramEnd"/>
      <w:r w:rsidRPr="00415A3D">
        <w:rPr>
          <w:b/>
          <w:bCs/>
          <w:lang w:val="fr-FR"/>
        </w:rPr>
        <w:t xml:space="preserve"> Engagement</w:t>
      </w:r>
    </w:p>
    <w:p w14:paraId="2D29F58E" w14:textId="2D4D226C" w:rsidR="008120EA" w:rsidRPr="00415A3D" w:rsidRDefault="008120EA" w:rsidP="00ED37E6">
      <w:pPr>
        <w:jc w:val="center"/>
        <w:rPr>
          <w:b/>
          <w:bCs/>
          <w:lang w:val="fr-FR"/>
        </w:rPr>
      </w:pPr>
    </w:p>
    <w:p w14:paraId="6C2C7088" w14:textId="5BA75B4C" w:rsidR="008120EA" w:rsidRPr="00085036" w:rsidRDefault="008120EA" w:rsidP="008120EA">
      <w:pPr>
        <w:ind w:left="720" w:hanging="720"/>
        <w:rPr>
          <w:rFonts w:ascii="Book Antiqua" w:hAnsi="Book Antiqua" w:cs="Calibri Light"/>
          <w:b/>
          <w:sz w:val="28"/>
          <w:szCs w:val="28"/>
        </w:rPr>
      </w:pPr>
      <w:r w:rsidRPr="007E67E2">
        <w:rPr>
          <w:rFonts w:ascii="Baskerville" w:hAnsi="Baskerville"/>
          <w:color w:val="000000" w:themeColor="text1"/>
          <w:sz w:val="28"/>
          <w:szCs w:val="28"/>
          <w:lang w:val="fr-FR"/>
        </w:rPr>
        <w:t xml:space="preserve">Boykin, A. </w:t>
      </w:r>
      <w:proofErr w:type="gramStart"/>
      <w:r w:rsidRPr="007E67E2">
        <w:rPr>
          <w:rFonts w:ascii="Baskerville" w:hAnsi="Baskerville"/>
          <w:color w:val="000000" w:themeColor="text1"/>
          <w:sz w:val="28"/>
          <w:szCs w:val="28"/>
          <w:lang w:val="fr-FR"/>
        </w:rPr>
        <w:t xml:space="preserve">W. </w:t>
      </w:r>
      <w:r w:rsidR="007E67E2" w:rsidRPr="007E67E2">
        <w:rPr>
          <w:rFonts w:ascii="Baskerville" w:hAnsi="Baskerville"/>
          <w:color w:val="000000" w:themeColor="text1"/>
          <w:sz w:val="28"/>
          <w:szCs w:val="28"/>
          <w:lang w:val="fr-FR"/>
        </w:rPr>
        <w:t>,</w:t>
      </w:r>
      <w:proofErr w:type="gramEnd"/>
      <w:r w:rsidRPr="007E67E2">
        <w:rPr>
          <w:rFonts w:ascii="Baskerville" w:hAnsi="Baskerville"/>
          <w:color w:val="000000" w:themeColor="text1"/>
          <w:sz w:val="28"/>
          <w:szCs w:val="28"/>
          <w:lang w:val="fr-FR"/>
        </w:rPr>
        <w:t xml:space="preserve">&amp; Noguera, P. (2011). </w:t>
      </w:r>
      <w:r w:rsidRPr="00085036">
        <w:rPr>
          <w:rFonts w:ascii="Baskerville" w:hAnsi="Baskerville"/>
          <w:i/>
          <w:iCs/>
          <w:color w:val="000000" w:themeColor="text1"/>
          <w:sz w:val="28"/>
          <w:szCs w:val="28"/>
        </w:rPr>
        <w:t xml:space="preserve">Creating the opportunity to learn: Moving from research to practice </w:t>
      </w:r>
      <w:proofErr w:type="gramStart"/>
      <w:r w:rsidRPr="00085036">
        <w:rPr>
          <w:rFonts w:ascii="Baskerville" w:hAnsi="Baskerville"/>
          <w:i/>
          <w:iCs/>
          <w:color w:val="000000" w:themeColor="text1"/>
          <w:sz w:val="28"/>
          <w:szCs w:val="28"/>
        </w:rPr>
        <w:t>to close</w:t>
      </w:r>
      <w:proofErr w:type="gramEnd"/>
      <w:r w:rsidRPr="00085036">
        <w:rPr>
          <w:rFonts w:ascii="Baskerville" w:hAnsi="Baskerville"/>
          <w:i/>
          <w:iCs/>
          <w:color w:val="000000" w:themeColor="text1"/>
          <w:sz w:val="28"/>
          <w:szCs w:val="28"/>
        </w:rPr>
        <w:t xml:space="preserve"> the achievement gap</w:t>
      </w:r>
      <w:r>
        <w:rPr>
          <w:rFonts w:ascii="Baskerville" w:hAnsi="Baskerville"/>
          <w:i/>
          <w:iCs/>
          <w:color w:val="000000" w:themeColor="text1"/>
          <w:sz w:val="28"/>
          <w:szCs w:val="28"/>
        </w:rPr>
        <w:t xml:space="preserve">. </w:t>
      </w:r>
      <w:r>
        <w:rPr>
          <w:rFonts w:ascii="Baskerville" w:hAnsi="Baskerville"/>
          <w:color w:val="000000" w:themeColor="text1"/>
          <w:sz w:val="28"/>
          <w:szCs w:val="28"/>
        </w:rPr>
        <w:t>ASCD</w:t>
      </w:r>
    </w:p>
    <w:p w14:paraId="0AFF3D61" w14:textId="7CE261D0" w:rsidR="00ED37E6" w:rsidRDefault="00ED37E6" w:rsidP="00ED37E6"/>
    <w:p w14:paraId="13CF75E1" w14:textId="3CA03B30" w:rsidR="00ED37E6" w:rsidRDefault="00ED37E6" w:rsidP="00ED37E6">
      <w:r>
        <w:t xml:space="preserve">Active engagement in academic tasks is the primary way that students learn. Thus, </w:t>
      </w:r>
      <w:r w:rsidRPr="00ED37E6">
        <w:rPr>
          <w:b/>
          <w:bCs/>
        </w:rPr>
        <w:t>access to equitable</w:t>
      </w:r>
      <w:r>
        <w:t xml:space="preserve"> </w:t>
      </w:r>
      <w:r w:rsidRPr="00ED37E6">
        <w:rPr>
          <w:b/>
          <w:bCs/>
        </w:rPr>
        <w:t>academic talk</w:t>
      </w:r>
      <w:r>
        <w:t xml:space="preserve"> – purposeful, intentional, thoughtful talk – is a cornerstone of classrooms that matter. The chapter presents findings of multiple studies that link the importance of </w:t>
      </w:r>
      <w:r w:rsidR="007E67E2">
        <w:t xml:space="preserve">key </w:t>
      </w:r>
      <w:r>
        <w:t xml:space="preserve">factors to student engagement. For example, in one study, for students of color who are often overlooked, learning math through dialogue is central to academic performance. Students are not engaged when they are overlooked or bored or learn better by talking and doing. </w:t>
      </w:r>
      <w:r w:rsidRPr="007E67E2">
        <w:rPr>
          <w:highlight w:val="yellow"/>
        </w:rPr>
        <w:t>The first tenet of student dialogue, however, requires that teachers set up the instructional practices to maximize accountable talk.</w:t>
      </w:r>
    </w:p>
    <w:p w14:paraId="1EB2B571" w14:textId="48E76A92" w:rsidR="00ED37E6" w:rsidRDefault="00ED37E6" w:rsidP="00ED37E6"/>
    <w:p w14:paraId="30FBE83B" w14:textId="75CCF309" w:rsidR="00ED37E6" w:rsidRDefault="00ED37E6" w:rsidP="00ED37E6">
      <w:pPr>
        <w:pStyle w:val="ListParagraph"/>
        <w:numPr>
          <w:ilvl w:val="0"/>
          <w:numId w:val="1"/>
        </w:numPr>
      </w:pPr>
      <w:r>
        <w:t xml:space="preserve">How are behavioral engagement, cognitive engagement, and affective engagement linked and interdependent?  </w:t>
      </w:r>
      <w:r w:rsidRPr="007E67E2">
        <w:rPr>
          <w:b/>
          <w:bCs/>
        </w:rPr>
        <w:t xml:space="preserve">Sketch the relationships on the </w:t>
      </w:r>
      <w:r w:rsidR="007E67E2">
        <w:rPr>
          <w:b/>
          <w:bCs/>
        </w:rPr>
        <w:t xml:space="preserve">triangle </w:t>
      </w:r>
      <w:r w:rsidRPr="007E67E2">
        <w:rPr>
          <w:b/>
          <w:bCs/>
        </w:rPr>
        <w:t>diagram below.</w:t>
      </w:r>
    </w:p>
    <w:p w14:paraId="027ABBDE" w14:textId="77777777" w:rsidR="00ED37E6" w:rsidRDefault="00ED37E6" w:rsidP="00ED37E6">
      <w:pPr>
        <w:pStyle w:val="ListParagraph"/>
      </w:pPr>
    </w:p>
    <w:p w14:paraId="7302363C" w14:textId="0D4DDB3C" w:rsidR="00ED37E6" w:rsidRDefault="00ED37E6" w:rsidP="00ED37E6">
      <w:pPr>
        <w:pStyle w:val="ListParagraph"/>
        <w:numPr>
          <w:ilvl w:val="0"/>
          <w:numId w:val="1"/>
        </w:numPr>
      </w:pPr>
      <w:r>
        <w:t xml:space="preserve">What kind of link do teachers </w:t>
      </w:r>
      <w:r w:rsidR="007E67E2">
        <w:t xml:space="preserve">often </w:t>
      </w:r>
      <w:r>
        <w:t>make between individual student behavior and cognitive engagement?</w:t>
      </w:r>
    </w:p>
    <w:p w14:paraId="5E09AA71" w14:textId="77777777" w:rsidR="00ED37E6" w:rsidRDefault="00ED37E6" w:rsidP="00ED37E6"/>
    <w:p w14:paraId="05AF2D38" w14:textId="7EE03614" w:rsidR="00ED37E6" w:rsidRDefault="00ED37E6" w:rsidP="00ED37E6">
      <w:pPr>
        <w:pStyle w:val="ListParagraph"/>
        <w:numPr>
          <w:ilvl w:val="0"/>
          <w:numId w:val="1"/>
        </w:numPr>
      </w:pPr>
      <w:r>
        <w:t>How can a teacher’s assumptions about student “attitude” interrupt or interfere with student engagement?</w:t>
      </w:r>
    </w:p>
    <w:p w14:paraId="582B3ECA" w14:textId="77777777" w:rsidR="00ED37E6" w:rsidRDefault="00ED37E6" w:rsidP="00ED37E6"/>
    <w:p w14:paraId="04C0B712" w14:textId="41729CAD" w:rsidR="00ED37E6" w:rsidRDefault="00ED37E6" w:rsidP="00ED37E6">
      <w:pPr>
        <w:pStyle w:val="ListParagraph"/>
        <w:numPr>
          <w:ilvl w:val="0"/>
          <w:numId w:val="1"/>
        </w:numPr>
      </w:pPr>
      <w:r>
        <w:t xml:space="preserve">How </w:t>
      </w:r>
      <w:r w:rsidR="007E67E2">
        <w:t xml:space="preserve">can </w:t>
      </w:r>
      <w:r>
        <w:t>a teacher’s actions negatively i</w:t>
      </w:r>
      <w:r w:rsidR="007E67E2">
        <w:t>nfluence</w:t>
      </w:r>
      <w:r>
        <w:t xml:space="preserve"> student engagement?</w:t>
      </w:r>
    </w:p>
    <w:p w14:paraId="1B49AD01" w14:textId="0D809508" w:rsidR="00ED37E6" w:rsidRPr="007E67E2" w:rsidRDefault="00ED37E6" w:rsidP="00ED37E6">
      <w:pPr>
        <w:rPr>
          <w:b/>
          <w:bCs/>
        </w:rPr>
      </w:pPr>
    </w:p>
    <w:p w14:paraId="18E21BC4" w14:textId="33422DE7" w:rsidR="00ED37E6" w:rsidRPr="007E67E2" w:rsidRDefault="00ED37E6" w:rsidP="00ED37E6">
      <w:pPr>
        <w:jc w:val="center"/>
        <w:rPr>
          <w:b/>
          <w:bCs/>
        </w:rPr>
      </w:pPr>
      <w:r w:rsidRPr="007E67E2">
        <w:rPr>
          <w:b/>
          <w:bCs/>
        </w:rPr>
        <w:t xml:space="preserve">In the triangle below, A= Affective B= </w:t>
      </w:r>
      <w:proofErr w:type="gramStart"/>
      <w:r w:rsidRPr="007E67E2">
        <w:rPr>
          <w:b/>
          <w:bCs/>
        </w:rPr>
        <w:t>Behavioral  C</w:t>
      </w:r>
      <w:proofErr w:type="gramEnd"/>
      <w:r w:rsidRPr="007E67E2">
        <w:rPr>
          <w:b/>
          <w:bCs/>
        </w:rPr>
        <w:t>= Cognitive</w:t>
      </w:r>
    </w:p>
    <w:p w14:paraId="0CE7B616" w14:textId="4BBD7694" w:rsidR="00ED37E6" w:rsidRDefault="00ED37E6" w:rsidP="00ED37E6">
      <w:pPr>
        <w:jc w:val="center"/>
      </w:pPr>
      <w:r>
        <w:t>Diagram the reciprocal relationships of the three factors that constitute engagement.</w:t>
      </w:r>
    </w:p>
    <w:p w14:paraId="3E7AE322" w14:textId="6A53DFEF" w:rsidR="00ED37E6" w:rsidRPr="007E67E2" w:rsidRDefault="00ED37E6" w:rsidP="00ED37E6">
      <w:pPr>
        <w:jc w:val="center"/>
        <w:rPr>
          <w:b/>
          <w:bCs/>
        </w:rPr>
      </w:pPr>
      <w:r w:rsidRPr="007E67E2">
        <w:rPr>
          <w:b/>
          <w:bCs/>
        </w:rPr>
        <w:t>What is the teacher’s responsibility to provide equitable access as a precursor to engagement?</w:t>
      </w:r>
    </w:p>
    <w:p w14:paraId="3277C636" w14:textId="03B058AA" w:rsidR="00ED37E6" w:rsidRPr="007E67E2" w:rsidRDefault="00ED37E6" w:rsidP="00ED37E6">
      <w:pPr>
        <w:rPr>
          <w:b/>
          <w:bCs/>
        </w:rPr>
      </w:pPr>
    </w:p>
    <w:p w14:paraId="1F46357F" w14:textId="055CB402" w:rsidR="00ED37E6" w:rsidRDefault="00ED37E6" w:rsidP="00ED37E6">
      <w:pPr>
        <w:jc w:val="center"/>
      </w:pPr>
      <w:r w:rsidRPr="00ED37E6">
        <w:rPr>
          <w:rFonts w:ascii="Times New Roman" w:eastAsia="Times New Roman" w:hAnsi="Times New Roman" w:cs="Times New Roman"/>
        </w:rPr>
        <w:fldChar w:fldCharType="begin"/>
      </w:r>
      <w:r w:rsidRPr="00ED37E6">
        <w:rPr>
          <w:rFonts w:ascii="Times New Roman" w:eastAsia="Times New Roman" w:hAnsi="Times New Roman" w:cs="Times New Roman"/>
        </w:rPr>
        <w:instrText xml:space="preserve"> INCLUDEPICTURE "/var/folders/zr/s_6_r63j2m32dwr0kns73n_nz358sb/T/com.microsoft.Word/WebArchiveCopyPasteTempFiles/Auuy2FrykEyGwAAAABJRU5ErkJggg==" \* MERGEFORMATINET </w:instrText>
      </w:r>
      <w:r w:rsidRPr="00ED37E6">
        <w:rPr>
          <w:rFonts w:ascii="Times New Roman" w:eastAsia="Times New Roman" w:hAnsi="Times New Roman" w:cs="Times New Roman"/>
        </w:rPr>
        <w:fldChar w:fldCharType="separate"/>
      </w:r>
      <w:r w:rsidRPr="00ED37E6">
        <w:rPr>
          <w:noProof/>
        </w:rPr>
        <w:drawing>
          <wp:inline distT="0" distB="0" distL="0" distR="0" wp14:anchorId="50726EB1" wp14:editId="0E025323">
            <wp:extent cx="2726960" cy="2025491"/>
            <wp:effectExtent l="0" t="0" r="3810" b="0"/>
            <wp:docPr id="1" name="Picture 1" descr="Triangles (Pre-Algebra, Introducing geometry) – Math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les (Pre-Algebra, Introducing geometry) – Mathpla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5654" cy="2031949"/>
                    </a:xfrm>
                    <a:prstGeom prst="rect">
                      <a:avLst/>
                    </a:prstGeom>
                    <a:noFill/>
                    <a:ln>
                      <a:noFill/>
                    </a:ln>
                  </pic:spPr>
                </pic:pic>
              </a:graphicData>
            </a:graphic>
          </wp:inline>
        </w:drawing>
      </w:r>
      <w:r w:rsidRPr="00ED37E6">
        <w:rPr>
          <w:rFonts w:ascii="Times New Roman" w:eastAsia="Times New Roman" w:hAnsi="Times New Roman" w:cs="Times New Roman"/>
        </w:rPr>
        <w:fldChar w:fldCharType="end"/>
      </w:r>
    </w:p>
    <w:p w14:paraId="2F39F632" w14:textId="77777777" w:rsidR="00ED37E6" w:rsidRDefault="00ED37E6" w:rsidP="00ED37E6"/>
    <w:sectPr w:rsidR="00ED37E6" w:rsidSect="00415A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C4170"/>
    <w:multiLevelType w:val="hybridMultilevel"/>
    <w:tmpl w:val="BF244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hideSpellingErrors/>
  <w:hideGrammaticalErrors/>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E6"/>
    <w:rsid w:val="0007503C"/>
    <w:rsid w:val="0028020A"/>
    <w:rsid w:val="00415A3D"/>
    <w:rsid w:val="004637A2"/>
    <w:rsid w:val="007E67E2"/>
    <w:rsid w:val="008120EA"/>
    <w:rsid w:val="008F763C"/>
    <w:rsid w:val="00ED37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0852"/>
  <w15:chartTrackingRefBased/>
  <w15:docId w15:val="{402BC51E-8DBA-3745-85AC-1A247507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 Carrie Lynn</cp:lastModifiedBy>
  <cp:revision>3</cp:revision>
  <dcterms:created xsi:type="dcterms:W3CDTF">2021-07-07T11:40:00Z</dcterms:created>
  <dcterms:modified xsi:type="dcterms:W3CDTF">2021-07-09T19:03:00Z</dcterms:modified>
</cp:coreProperties>
</file>