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DE28A" w14:textId="77777777" w:rsidR="00A555FC" w:rsidRDefault="00A555FC" w:rsidP="00A555FC">
      <w:pPr>
        <w:jc w:val="center"/>
      </w:pPr>
      <w:r>
        <w:rPr>
          <w:i/>
          <w:noProof/>
          <w:color w:val="FFD966" w:themeColor="accent4" w:themeTint="99"/>
          <w:sz w:val="36"/>
          <w:szCs w:val="36"/>
        </w:rPr>
        <w:drawing>
          <wp:inline distT="0" distB="0" distL="0" distR="0" wp14:anchorId="634768C6" wp14:editId="458B6FF0">
            <wp:extent cx="1158240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4_Logo.pd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5215" cy="93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898E9" w14:textId="77777777" w:rsidR="00A555FC" w:rsidRDefault="00A555FC" w:rsidP="00A555FC">
      <w:pPr>
        <w:jc w:val="center"/>
      </w:pPr>
    </w:p>
    <w:p w14:paraId="660EDD29" w14:textId="77777777" w:rsidR="00A555FC" w:rsidRDefault="00A555FC" w:rsidP="00A555FC">
      <w:pPr>
        <w:jc w:val="center"/>
      </w:pPr>
      <w:r>
        <w:t>Summer Learning Exchange, June 19, 2021</w:t>
      </w:r>
    </w:p>
    <w:p w14:paraId="001B8F1C" w14:textId="77777777" w:rsidR="00A555FC" w:rsidRDefault="00A555FC" w:rsidP="005C74C6">
      <w:pPr>
        <w:jc w:val="center"/>
        <w:rPr>
          <w:b/>
          <w:bCs/>
        </w:rPr>
      </w:pPr>
    </w:p>
    <w:p w14:paraId="1E629910" w14:textId="3652CC32" w:rsidR="00515BDC" w:rsidRPr="00297875" w:rsidRDefault="005C74C6" w:rsidP="005C74C6">
      <w:pPr>
        <w:jc w:val="center"/>
        <w:rPr>
          <w:b/>
          <w:bCs/>
          <w:color w:val="4472C4" w:themeColor="accent1"/>
          <w:sz w:val="32"/>
          <w:szCs w:val="32"/>
        </w:rPr>
      </w:pPr>
      <w:r w:rsidRPr="00297875">
        <w:rPr>
          <w:b/>
          <w:bCs/>
          <w:color w:val="4472C4" w:themeColor="accent1"/>
          <w:sz w:val="32"/>
          <w:szCs w:val="32"/>
        </w:rPr>
        <w:t>CALLING ON CODES</w:t>
      </w:r>
      <w:r w:rsidR="00297875">
        <w:rPr>
          <w:b/>
          <w:bCs/>
          <w:color w:val="4472C4" w:themeColor="accent1"/>
          <w:sz w:val="32"/>
          <w:szCs w:val="32"/>
        </w:rPr>
        <w:t xml:space="preserve"> (NAMES OF PRACTICE)</w:t>
      </w:r>
    </w:p>
    <w:p w14:paraId="7F638A6D" w14:textId="28C26E96" w:rsidR="005C74C6" w:rsidRDefault="005C74C6" w:rsidP="005C74C6"/>
    <w:p w14:paraId="4619350D" w14:textId="50151547" w:rsidR="005C74C6" w:rsidRDefault="005C74C6" w:rsidP="005C74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160"/>
        <w:gridCol w:w="6115"/>
      </w:tblGrid>
      <w:tr w:rsidR="005C74C6" w:rsidRPr="003E603F" w14:paraId="5FD42EAE" w14:textId="77777777" w:rsidTr="00BB4EE1">
        <w:tc>
          <w:tcPr>
            <w:tcW w:w="1075" w:type="dxa"/>
          </w:tcPr>
          <w:p w14:paraId="0E241DAE" w14:textId="77777777" w:rsidR="005C74C6" w:rsidRPr="003E603F" w:rsidRDefault="005C74C6" w:rsidP="00BB4EE1">
            <w:pPr>
              <w:rPr>
                <w:b/>
                <w:bCs/>
              </w:rPr>
            </w:pPr>
            <w:r w:rsidRPr="003E603F">
              <w:rPr>
                <w:b/>
                <w:bCs/>
              </w:rPr>
              <w:t>CODE</w:t>
            </w:r>
          </w:p>
        </w:tc>
        <w:tc>
          <w:tcPr>
            <w:tcW w:w="2160" w:type="dxa"/>
          </w:tcPr>
          <w:p w14:paraId="1A93444D" w14:textId="77777777" w:rsidR="005C74C6" w:rsidRPr="003E603F" w:rsidRDefault="005C74C6" w:rsidP="00BB4EE1">
            <w:pPr>
              <w:rPr>
                <w:b/>
                <w:bCs/>
              </w:rPr>
            </w:pPr>
            <w:r w:rsidRPr="003E603F">
              <w:rPr>
                <w:b/>
                <w:bCs/>
              </w:rPr>
              <w:t>Full CODE NAME</w:t>
            </w:r>
          </w:p>
        </w:tc>
        <w:tc>
          <w:tcPr>
            <w:tcW w:w="6115" w:type="dxa"/>
          </w:tcPr>
          <w:p w14:paraId="1EAFF845" w14:textId="77777777" w:rsidR="005C74C6" w:rsidRPr="003E603F" w:rsidRDefault="005C74C6" w:rsidP="00BB4EE1">
            <w:pPr>
              <w:rPr>
                <w:b/>
                <w:bCs/>
              </w:rPr>
            </w:pPr>
            <w:r w:rsidRPr="003E603F">
              <w:rPr>
                <w:b/>
                <w:bCs/>
              </w:rPr>
              <w:t>Explanation</w:t>
            </w:r>
          </w:p>
        </w:tc>
      </w:tr>
      <w:tr w:rsidR="005C74C6" w14:paraId="0712B91C" w14:textId="77777777" w:rsidTr="00BB4EE1">
        <w:tc>
          <w:tcPr>
            <w:tcW w:w="1075" w:type="dxa"/>
          </w:tcPr>
          <w:p w14:paraId="6A0FAB37" w14:textId="77777777" w:rsidR="005C74C6" w:rsidRPr="00A555FC" w:rsidRDefault="005C74C6" w:rsidP="00BB4EE1">
            <w:pPr>
              <w:rPr>
                <w:b/>
                <w:bCs/>
                <w:color w:val="4472C4" w:themeColor="accent1"/>
              </w:rPr>
            </w:pPr>
            <w:r w:rsidRPr="00A555FC">
              <w:rPr>
                <w:b/>
                <w:bCs/>
                <w:color w:val="4472C4" w:themeColor="accent1"/>
              </w:rPr>
              <w:t>R</w:t>
            </w:r>
          </w:p>
        </w:tc>
        <w:tc>
          <w:tcPr>
            <w:tcW w:w="2160" w:type="dxa"/>
          </w:tcPr>
          <w:p w14:paraId="76284D4C" w14:textId="77777777" w:rsidR="005C74C6" w:rsidRDefault="005C74C6" w:rsidP="00BB4EE1">
            <w:r w:rsidRPr="00A555FC">
              <w:rPr>
                <w:b/>
                <w:bCs/>
                <w:color w:val="4472C4" w:themeColor="accent1"/>
              </w:rPr>
              <w:t>R</w:t>
            </w:r>
            <w:r>
              <w:t>aising hand</w:t>
            </w:r>
          </w:p>
        </w:tc>
        <w:tc>
          <w:tcPr>
            <w:tcW w:w="6115" w:type="dxa"/>
          </w:tcPr>
          <w:p w14:paraId="032A412B" w14:textId="77777777" w:rsidR="005C74C6" w:rsidRDefault="005C74C6" w:rsidP="00BB4EE1">
            <w:r>
              <w:t>teacher calls on a student who raises his or her hand</w:t>
            </w:r>
          </w:p>
        </w:tc>
      </w:tr>
      <w:tr w:rsidR="005C74C6" w14:paraId="2FA4BAD1" w14:textId="77777777" w:rsidTr="00BB4EE1">
        <w:tc>
          <w:tcPr>
            <w:tcW w:w="1075" w:type="dxa"/>
          </w:tcPr>
          <w:p w14:paraId="74541A46" w14:textId="77777777" w:rsidR="005C74C6" w:rsidRPr="00A555FC" w:rsidRDefault="005C74C6" w:rsidP="00BB4EE1">
            <w:pPr>
              <w:rPr>
                <w:b/>
                <w:bCs/>
                <w:color w:val="4472C4" w:themeColor="accent1"/>
              </w:rPr>
            </w:pPr>
            <w:r w:rsidRPr="00A555FC">
              <w:rPr>
                <w:b/>
                <w:bCs/>
                <w:color w:val="4472C4" w:themeColor="accent1"/>
              </w:rPr>
              <w:t>CC</w:t>
            </w:r>
          </w:p>
        </w:tc>
        <w:tc>
          <w:tcPr>
            <w:tcW w:w="2160" w:type="dxa"/>
          </w:tcPr>
          <w:p w14:paraId="5980DB9E" w14:textId="77777777" w:rsidR="005C74C6" w:rsidRDefault="005C74C6" w:rsidP="00BB4EE1">
            <w:r w:rsidRPr="00A555FC">
              <w:rPr>
                <w:b/>
                <w:bCs/>
                <w:color w:val="4472C4" w:themeColor="accent1"/>
              </w:rPr>
              <w:t>C</w:t>
            </w:r>
            <w:r>
              <w:t xml:space="preserve">old </w:t>
            </w:r>
            <w:r w:rsidRPr="00A555FC">
              <w:rPr>
                <w:b/>
                <w:bCs/>
                <w:color w:val="4472C4" w:themeColor="accent1"/>
              </w:rPr>
              <w:t>C</w:t>
            </w:r>
            <w:r>
              <w:t>all</w:t>
            </w:r>
          </w:p>
        </w:tc>
        <w:tc>
          <w:tcPr>
            <w:tcW w:w="6115" w:type="dxa"/>
          </w:tcPr>
          <w:p w14:paraId="3F761231" w14:textId="77777777" w:rsidR="005C74C6" w:rsidRDefault="005C74C6" w:rsidP="00BB4EE1">
            <w:r>
              <w:t xml:space="preserve">teacher cold calls on a student who did not volunteer </w:t>
            </w:r>
          </w:p>
        </w:tc>
      </w:tr>
      <w:tr w:rsidR="005C74C6" w14:paraId="2AE73A88" w14:textId="77777777" w:rsidTr="00BB4EE1">
        <w:tc>
          <w:tcPr>
            <w:tcW w:w="1075" w:type="dxa"/>
          </w:tcPr>
          <w:p w14:paraId="5D9FB5AC" w14:textId="77777777" w:rsidR="005C74C6" w:rsidRPr="00A555FC" w:rsidRDefault="005C74C6" w:rsidP="00BB4EE1">
            <w:pPr>
              <w:rPr>
                <w:b/>
                <w:bCs/>
                <w:color w:val="4472C4" w:themeColor="accent1"/>
              </w:rPr>
            </w:pPr>
            <w:r w:rsidRPr="00A555FC">
              <w:rPr>
                <w:b/>
                <w:bCs/>
                <w:color w:val="4472C4" w:themeColor="accent1"/>
              </w:rPr>
              <w:t>CCD</w:t>
            </w:r>
          </w:p>
        </w:tc>
        <w:tc>
          <w:tcPr>
            <w:tcW w:w="2160" w:type="dxa"/>
          </w:tcPr>
          <w:p w14:paraId="530967D7" w14:textId="77777777" w:rsidR="005C74C6" w:rsidRDefault="005C74C6" w:rsidP="00BB4EE1">
            <w:r w:rsidRPr="00A555FC">
              <w:rPr>
                <w:b/>
                <w:bCs/>
                <w:color w:val="4472C4" w:themeColor="accent1"/>
              </w:rPr>
              <w:t>C</w:t>
            </w:r>
            <w:r>
              <w:t xml:space="preserve">old </w:t>
            </w:r>
            <w:r w:rsidRPr="00A555FC">
              <w:rPr>
                <w:b/>
                <w:bCs/>
                <w:color w:val="4472C4" w:themeColor="accent1"/>
              </w:rPr>
              <w:t>C</w:t>
            </w:r>
            <w:r>
              <w:t xml:space="preserve">all </w:t>
            </w:r>
            <w:r w:rsidRPr="00A555FC">
              <w:rPr>
                <w:b/>
                <w:bCs/>
                <w:color w:val="4472C4" w:themeColor="accent1"/>
              </w:rPr>
              <w:t>D</w:t>
            </w:r>
            <w:r>
              <w:t>iscipline</w:t>
            </w:r>
          </w:p>
        </w:tc>
        <w:tc>
          <w:tcPr>
            <w:tcW w:w="6115" w:type="dxa"/>
          </w:tcPr>
          <w:p w14:paraId="2AE19393" w14:textId="77777777" w:rsidR="005C74C6" w:rsidRDefault="005C74C6" w:rsidP="00BB4EE1">
            <w:r>
              <w:t xml:space="preserve">teacher cold calls on a student for discipline </w:t>
            </w:r>
          </w:p>
        </w:tc>
      </w:tr>
      <w:tr w:rsidR="005C74C6" w14:paraId="6EFD46C9" w14:textId="77777777" w:rsidTr="00BB4EE1">
        <w:tc>
          <w:tcPr>
            <w:tcW w:w="1075" w:type="dxa"/>
          </w:tcPr>
          <w:p w14:paraId="03BD3BDE" w14:textId="77777777" w:rsidR="005C74C6" w:rsidRPr="00A555FC" w:rsidRDefault="005C74C6" w:rsidP="00BB4EE1">
            <w:pPr>
              <w:rPr>
                <w:b/>
                <w:bCs/>
                <w:color w:val="4472C4" w:themeColor="accent1"/>
              </w:rPr>
            </w:pPr>
            <w:r w:rsidRPr="00A555FC">
              <w:rPr>
                <w:b/>
                <w:bCs/>
                <w:color w:val="4472C4" w:themeColor="accent1"/>
              </w:rPr>
              <w:t>B-A</w:t>
            </w:r>
          </w:p>
        </w:tc>
        <w:tc>
          <w:tcPr>
            <w:tcW w:w="2160" w:type="dxa"/>
          </w:tcPr>
          <w:p w14:paraId="0DAE5991" w14:textId="77777777" w:rsidR="005C74C6" w:rsidRPr="006E14A6" w:rsidRDefault="005C74C6" w:rsidP="00BB4EE1">
            <w:pPr>
              <w:rPr>
                <w:b/>
                <w:bCs/>
              </w:rPr>
            </w:pPr>
            <w:r w:rsidRPr="00A555FC">
              <w:rPr>
                <w:b/>
                <w:bCs/>
                <w:color w:val="4472C4" w:themeColor="accent1"/>
              </w:rPr>
              <w:t>B</w:t>
            </w:r>
            <w:r>
              <w:t xml:space="preserve">lurt-out: </w:t>
            </w:r>
            <w:r w:rsidRPr="00A555FC">
              <w:rPr>
                <w:b/>
                <w:bCs/>
                <w:color w:val="4472C4" w:themeColor="accent1"/>
              </w:rPr>
              <w:t>A</w:t>
            </w:r>
            <w:r w:rsidRPr="006E14A6">
              <w:t>ccept</w:t>
            </w:r>
          </w:p>
        </w:tc>
        <w:tc>
          <w:tcPr>
            <w:tcW w:w="6115" w:type="dxa"/>
          </w:tcPr>
          <w:p w14:paraId="74AEBFB4" w14:textId="2E492D0A" w:rsidR="005C74C6" w:rsidRDefault="005C74C6" w:rsidP="00BB4EE1">
            <w:r>
              <w:t xml:space="preserve">teacher accepts an answer that is blurted out by a student </w:t>
            </w:r>
            <w:r w:rsidR="00A555FC">
              <w:t>or students</w:t>
            </w:r>
            <w:r>
              <w:t xml:space="preserve"> </w:t>
            </w:r>
          </w:p>
        </w:tc>
      </w:tr>
      <w:tr w:rsidR="005C74C6" w14:paraId="31DFA84E" w14:textId="77777777" w:rsidTr="00BB4EE1">
        <w:tc>
          <w:tcPr>
            <w:tcW w:w="1075" w:type="dxa"/>
          </w:tcPr>
          <w:p w14:paraId="05918A87" w14:textId="77777777" w:rsidR="005C74C6" w:rsidRPr="00A555FC" w:rsidRDefault="005C74C6" w:rsidP="00BB4EE1">
            <w:pPr>
              <w:rPr>
                <w:b/>
                <w:bCs/>
                <w:color w:val="4472C4" w:themeColor="accent1"/>
              </w:rPr>
            </w:pPr>
            <w:r w:rsidRPr="00A555FC">
              <w:rPr>
                <w:b/>
                <w:bCs/>
                <w:color w:val="4472C4" w:themeColor="accent1"/>
              </w:rPr>
              <w:t>B-I</w:t>
            </w:r>
          </w:p>
        </w:tc>
        <w:tc>
          <w:tcPr>
            <w:tcW w:w="2160" w:type="dxa"/>
          </w:tcPr>
          <w:p w14:paraId="3B7C1A1C" w14:textId="77777777" w:rsidR="005C74C6" w:rsidRPr="006E14A6" w:rsidRDefault="005C74C6" w:rsidP="00BB4EE1">
            <w:r w:rsidRPr="00A555FC">
              <w:rPr>
                <w:b/>
                <w:bCs/>
                <w:color w:val="4472C4" w:themeColor="accent1"/>
              </w:rPr>
              <w:t>B</w:t>
            </w:r>
            <w:r>
              <w:t xml:space="preserve">lurt-out: </w:t>
            </w:r>
            <w:r w:rsidRPr="00A555FC">
              <w:rPr>
                <w:b/>
                <w:bCs/>
                <w:color w:val="4472C4" w:themeColor="accent1"/>
              </w:rPr>
              <w:t>I</w:t>
            </w:r>
            <w:r>
              <w:t>gnore</w:t>
            </w:r>
          </w:p>
        </w:tc>
        <w:tc>
          <w:tcPr>
            <w:tcW w:w="6115" w:type="dxa"/>
          </w:tcPr>
          <w:p w14:paraId="23027F70" w14:textId="77777777" w:rsidR="005C74C6" w:rsidRDefault="005C74C6" w:rsidP="00BB4EE1">
            <w:r>
              <w:t>teacher ignores a student who blurts out an answer</w:t>
            </w:r>
          </w:p>
        </w:tc>
      </w:tr>
      <w:tr w:rsidR="005C74C6" w14:paraId="63D8A8E0" w14:textId="77777777" w:rsidTr="00BB4EE1">
        <w:tc>
          <w:tcPr>
            <w:tcW w:w="1075" w:type="dxa"/>
          </w:tcPr>
          <w:p w14:paraId="6C489026" w14:textId="77777777" w:rsidR="005C74C6" w:rsidRPr="00A555FC" w:rsidRDefault="005C74C6" w:rsidP="00BB4EE1">
            <w:pPr>
              <w:rPr>
                <w:b/>
                <w:bCs/>
                <w:color w:val="4472C4" w:themeColor="accent1"/>
              </w:rPr>
            </w:pPr>
            <w:r w:rsidRPr="00A555FC">
              <w:rPr>
                <w:b/>
                <w:bCs/>
                <w:color w:val="4472C4" w:themeColor="accent1"/>
              </w:rPr>
              <w:t>C&amp;R</w:t>
            </w:r>
          </w:p>
        </w:tc>
        <w:tc>
          <w:tcPr>
            <w:tcW w:w="2160" w:type="dxa"/>
          </w:tcPr>
          <w:p w14:paraId="36CEFD83" w14:textId="77777777" w:rsidR="005C74C6" w:rsidRDefault="005C74C6" w:rsidP="00BB4EE1">
            <w:r w:rsidRPr="00A555FC">
              <w:rPr>
                <w:b/>
                <w:bCs/>
                <w:color w:val="4472C4" w:themeColor="accent1"/>
              </w:rPr>
              <w:t>C</w:t>
            </w:r>
            <w:r>
              <w:t xml:space="preserve">all &amp; </w:t>
            </w:r>
            <w:r w:rsidRPr="00A555FC">
              <w:rPr>
                <w:b/>
                <w:bCs/>
                <w:color w:val="4472C4" w:themeColor="accent1"/>
              </w:rPr>
              <w:t>R</w:t>
            </w:r>
            <w:r>
              <w:t>esponse</w:t>
            </w:r>
          </w:p>
        </w:tc>
        <w:tc>
          <w:tcPr>
            <w:tcW w:w="6115" w:type="dxa"/>
          </w:tcPr>
          <w:p w14:paraId="3DE0603C" w14:textId="3374AC52" w:rsidR="005C74C6" w:rsidRDefault="005C74C6" w:rsidP="00BB4EE1">
            <w:r>
              <w:t xml:space="preserve">teacher </w:t>
            </w:r>
            <w:r w:rsidR="00A555FC">
              <w:t xml:space="preserve">intentionally </w:t>
            </w:r>
            <w:r>
              <w:t>prompts students to answer together in unison to a known question</w:t>
            </w:r>
          </w:p>
        </w:tc>
      </w:tr>
      <w:tr w:rsidR="005C74C6" w14:paraId="4A3F1414" w14:textId="77777777" w:rsidTr="00BB4EE1">
        <w:tc>
          <w:tcPr>
            <w:tcW w:w="1075" w:type="dxa"/>
          </w:tcPr>
          <w:p w14:paraId="09D3735E" w14:textId="77777777" w:rsidR="005C74C6" w:rsidRPr="00A555FC" w:rsidRDefault="005C74C6" w:rsidP="00BB4EE1">
            <w:pPr>
              <w:rPr>
                <w:b/>
                <w:bCs/>
                <w:color w:val="4472C4" w:themeColor="accent1"/>
              </w:rPr>
            </w:pPr>
            <w:r w:rsidRPr="00A555FC">
              <w:rPr>
                <w:b/>
                <w:bCs/>
                <w:color w:val="4472C4" w:themeColor="accent1"/>
              </w:rPr>
              <w:t>ES</w:t>
            </w:r>
          </w:p>
        </w:tc>
        <w:tc>
          <w:tcPr>
            <w:tcW w:w="2160" w:type="dxa"/>
          </w:tcPr>
          <w:p w14:paraId="0FFD9666" w14:textId="77777777" w:rsidR="005C74C6" w:rsidRDefault="005C74C6" w:rsidP="00BB4EE1">
            <w:r w:rsidRPr="00A555FC">
              <w:rPr>
                <w:b/>
                <w:bCs/>
                <w:color w:val="4472C4" w:themeColor="accent1"/>
              </w:rPr>
              <w:t>E</w:t>
            </w:r>
            <w:r>
              <w:t xml:space="preserve">quity </w:t>
            </w:r>
            <w:r w:rsidRPr="00A555FC">
              <w:rPr>
                <w:b/>
                <w:bCs/>
                <w:color w:val="4472C4" w:themeColor="accent1"/>
              </w:rPr>
              <w:t>S</w:t>
            </w:r>
            <w:r>
              <w:t>trategy</w:t>
            </w:r>
          </w:p>
        </w:tc>
        <w:tc>
          <w:tcPr>
            <w:tcW w:w="6115" w:type="dxa"/>
          </w:tcPr>
          <w:p w14:paraId="0E7F71D8" w14:textId="77777777" w:rsidR="005C74C6" w:rsidRDefault="005C74C6" w:rsidP="00BB4EE1">
            <w:r>
              <w:t>teacher uses an equity strategy such as pulling a name at random to determine which student to call on</w:t>
            </w:r>
          </w:p>
        </w:tc>
      </w:tr>
      <w:tr w:rsidR="005C74C6" w14:paraId="6975F3C3" w14:textId="77777777" w:rsidTr="00BB4EE1">
        <w:tc>
          <w:tcPr>
            <w:tcW w:w="1075" w:type="dxa"/>
          </w:tcPr>
          <w:p w14:paraId="70F22E56" w14:textId="77777777" w:rsidR="005C74C6" w:rsidRPr="00A555FC" w:rsidRDefault="005C74C6" w:rsidP="00BB4EE1">
            <w:pPr>
              <w:rPr>
                <w:b/>
                <w:bCs/>
                <w:color w:val="4472C4" w:themeColor="accent1"/>
              </w:rPr>
            </w:pPr>
            <w:r w:rsidRPr="00A555FC">
              <w:rPr>
                <w:b/>
                <w:bCs/>
                <w:color w:val="4472C4" w:themeColor="accent1"/>
              </w:rPr>
              <w:t>TR</w:t>
            </w:r>
          </w:p>
        </w:tc>
        <w:tc>
          <w:tcPr>
            <w:tcW w:w="2160" w:type="dxa"/>
          </w:tcPr>
          <w:p w14:paraId="15E888BD" w14:textId="77777777" w:rsidR="005C74C6" w:rsidRPr="006E14A6" w:rsidRDefault="005C74C6" w:rsidP="00BB4EE1">
            <w:r w:rsidRPr="00A555FC">
              <w:rPr>
                <w:b/>
                <w:bCs/>
                <w:color w:val="4472C4" w:themeColor="accent1"/>
              </w:rPr>
              <w:t>T</w:t>
            </w:r>
            <w:r>
              <w:t xml:space="preserve">eacher </w:t>
            </w:r>
            <w:r w:rsidRPr="00A555FC">
              <w:rPr>
                <w:b/>
                <w:bCs/>
                <w:color w:val="4472C4" w:themeColor="accent1"/>
              </w:rPr>
              <w:t>R</w:t>
            </w:r>
            <w:r>
              <w:t>epeats</w:t>
            </w:r>
          </w:p>
        </w:tc>
        <w:tc>
          <w:tcPr>
            <w:tcW w:w="6115" w:type="dxa"/>
          </w:tcPr>
          <w:p w14:paraId="14D278EE" w14:textId="77777777" w:rsidR="005C74C6" w:rsidRDefault="005C74C6" w:rsidP="00BB4EE1">
            <w:r>
              <w:t>teacher repeats student response verbatim</w:t>
            </w:r>
          </w:p>
        </w:tc>
      </w:tr>
      <w:tr w:rsidR="005C74C6" w14:paraId="255D41F0" w14:textId="77777777" w:rsidTr="00BB4EE1">
        <w:tc>
          <w:tcPr>
            <w:tcW w:w="1075" w:type="dxa"/>
          </w:tcPr>
          <w:p w14:paraId="6D156D9B" w14:textId="77777777" w:rsidR="005C74C6" w:rsidRPr="00A555FC" w:rsidRDefault="005C74C6" w:rsidP="00BB4EE1">
            <w:pPr>
              <w:rPr>
                <w:b/>
                <w:bCs/>
                <w:color w:val="4472C4" w:themeColor="accent1"/>
              </w:rPr>
            </w:pPr>
            <w:r w:rsidRPr="00A555FC">
              <w:rPr>
                <w:b/>
                <w:bCs/>
                <w:color w:val="4472C4" w:themeColor="accent1"/>
              </w:rPr>
              <w:t>TRV</w:t>
            </w:r>
          </w:p>
        </w:tc>
        <w:tc>
          <w:tcPr>
            <w:tcW w:w="2160" w:type="dxa"/>
          </w:tcPr>
          <w:p w14:paraId="6A1AD77B" w14:textId="77777777" w:rsidR="005C74C6" w:rsidRDefault="005C74C6" w:rsidP="00BB4EE1">
            <w:r w:rsidRPr="00A555FC">
              <w:rPr>
                <w:b/>
                <w:bCs/>
                <w:color w:val="4472C4" w:themeColor="accent1"/>
              </w:rPr>
              <w:t>T</w:t>
            </w:r>
            <w:r>
              <w:t xml:space="preserve">eacher </w:t>
            </w:r>
            <w:r w:rsidRPr="00A555FC">
              <w:rPr>
                <w:b/>
                <w:bCs/>
                <w:color w:val="4472C4" w:themeColor="accent1"/>
              </w:rPr>
              <w:t>R</w:t>
            </w:r>
            <w:r w:rsidRPr="006E14A6">
              <w:t>e</w:t>
            </w:r>
            <w:r w:rsidRPr="00A555FC">
              <w:rPr>
                <w:b/>
                <w:bCs/>
                <w:color w:val="4472C4" w:themeColor="accent1"/>
              </w:rPr>
              <w:t>V</w:t>
            </w:r>
            <w:r w:rsidRPr="006E14A6">
              <w:t>oices</w:t>
            </w:r>
          </w:p>
        </w:tc>
        <w:tc>
          <w:tcPr>
            <w:tcW w:w="6115" w:type="dxa"/>
          </w:tcPr>
          <w:p w14:paraId="22C97369" w14:textId="475F2FB0" w:rsidR="005C74C6" w:rsidRDefault="005C74C6" w:rsidP="00BB4EE1">
            <w:r>
              <w:t>Teacher revoices, which means that the teacher uses a student response to paraphrase and perhaps ask other questions.</w:t>
            </w:r>
            <w:r w:rsidR="00A555FC">
              <w:t xml:space="preserve"> (Notice difference between simple repeat and revoicing)</w:t>
            </w:r>
          </w:p>
        </w:tc>
      </w:tr>
      <w:tr w:rsidR="005C74C6" w14:paraId="16A6E83A" w14:textId="77777777" w:rsidTr="00BB4EE1">
        <w:tc>
          <w:tcPr>
            <w:tcW w:w="1075" w:type="dxa"/>
          </w:tcPr>
          <w:p w14:paraId="05B74FE9" w14:textId="77777777" w:rsidR="005C74C6" w:rsidRPr="00A555FC" w:rsidRDefault="005C74C6" w:rsidP="00BB4EE1">
            <w:pPr>
              <w:rPr>
                <w:b/>
                <w:bCs/>
                <w:color w:val="4472C4" w:themeColor="accent1"/>
              </w:rPr>
            </w:pPr>
            <w:r w:rsidRPr="00A555FC">
              <w:rPr>
                <w:b/>
                <w:bCs/>
                <w:color w:val="4472C4" w:themeColor="accent1"/>
              </w:rPr>
              <w:t>TPS</w:t>
            </w:r>
          </w:p>
        </w:tc>
        <w:tc>
          <w:tcPr>
            <w:tcW w:w="2160" w:type="dxa"/>
          </w:tcPr>
          <w:p w14:paraId="64814834" w14:textId="77777777" w:rsidR="005C74C6" w:rsidRDefault="005C74C6" w:rsidP="00BB4EE1">
            <w:r w:rsidRPr="00A555FC">
              <w:rPr>
                <w:b/>
                <w:bCs/>
                <w:color w:val="4472C4" w:themeColor="accent1"/>
              </w:rPr>
              <w:t>T</w:t>
            </w:r>
            <w:r>
              <w:t>hink-</w:t>
            </w:r>
            <w:r w:rsidRPr="00A555FC">
              <w:rPr>
                <w:b/>
                <w:bCs/>
                <w:color w:val="4472C4" w:themeColor="accent1"/>
              </w:rPr>
              <w:t>P</w:t>
            </w:r>
            <w:r>
              <w:t>air-</w:t>
            </w:r>
            <w:r w:rsidRPr="00A555FC">
              <w:rPr>
                <w:b/>
                <w:bCs/>
                <w:color w:val="4472C4" w:themeColor="accent1"/>
              </w:rPr>
              <w:t>S</w:t>
            </w:r>
            <w:r>
              <w:t>hare</w:t>
            </w:r>
          </w:p>
        </w:tc>
        <w:tc>
          <w:tcPr>
            <w:tcW w:w="6115" w:type="dxa"/>
          </w:tcPr>
          <w:p w14:paraId="4EBBD353" w14:textId="2E4CCDFB" w:rsidR="005C74C6" w:rsidRDefault="005C74C6" w:rsidP="00BB4EE1">
            <w:r>
              <w:t>teacher asks students to think</w:t>
            </w:r>
            <w:r w:rsidR="00A555FC">
              <w:t xml:space="preserve"> for appropriate think time</w:t>
            </w:r>
            <w:r>
              <w:t>, pair, and then share</w:t>
            </w:r>
          </w:p>
        </w:tc>
      </w:tr>
    </w:tbl>
    <w:p w14:paraId="1C27C114" w14:textId="77777777" w:rsidR="005C74C6" w:rsidRDefault="005C74C6" w:rsidP="005C74C6"/>
    <w:p w14:paraId="53DE31AA" w14:textId="77777777" w:rsidR="005C74C6" w:rsidRPr="005C74C6" w:rsidRDefault="005C74C6" w:rsidP="005C74C6"/>
    <w:sectPr w:rsidR="005C74C6" w:rsidRPr="005C74C6" w:rsidSect="008F7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hideSpellingErrors/>
  <w:hideGrammaticalErrors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C6"/>
    <w:rsid w:val="00297875"/>
    <w:rsid w:val="004637A2"/>
    <w:rsid w:val="005037E1"/>
    <w:rsid w:val="005C74C6"/>
    <w:rsid w:val="008F763C"/>
    <w:rsid w:val="00A555FC"/>
    <w:rsid w:val="00BF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BD1223"/>
  <w15:chartTrackingRefBased/>
  <w15:docId w15:val="{07F75DB7-A3F3-FE4A-B7C9-5CCB11C0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4C6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4C6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4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Morris, Carrie Lynn</cp:lastModifiedBy>
  <cp:revision>2</cp:revision>
  <dcterms:created xsi:type="dcterms:W3CDTF">2021-07-07T11:44:00Z</dcterms:created>
  <dcterms:modified xsi:type="dcterms:W3CDTF">2021-07-07T11:44:00Z</dcterms:modified>
</cp:coreProperties>
</file>